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b/>
          <w:bCs/>
          <w:sz w:val="32"/>
          <w:szCs w:val="32"/>
        </w:rPr>
        <w:t xml:space="preserve">Submission to the Foreign Affairs, Defence and Trade Committee</w:t>
      </w:r>
    </w:p>
    <w:p>
      <w:pPr>
        <w:spacing w:after="360"/>
        <w:jc w:val="center"/>
      </w:pPr>
      <w:r>
        <w:rPr>
          <w:i/>
          <w:iCs/>
          <w:sz w:val="24"/>
          <w:szCs w:val="24"/>
        </w:rPr>
        <w:t xml:space="preserve">International Treaty Examination of the New Zealand–India Free Trade Agreement</w:t>
      </w:r>
    </w:p>
    <w:p>
      <w:pPr>
        <w:pStyle w:val="Heading2"/>
        <w:spacing w:after="160" w:before="300"/>
      </w:pPr>
      <w:r>
        <w:rPr>
          <w:b/>
          <w:bCs/>
        </w:rPr>
        <w:t xml:space="preserve">Submitter details</w:t>
      </w:r>
    </w:p>
    <w:p>
      <w:pPr>
        <w:spacing w:after="160"/>
      </w:pPr>
      <w:r>
        <w:rPr>
          <w:b/>
          <w:bCs/>
          <w:i/>
          <w:iCs/>
          <w:color w:val="C0504D"/>
        </w:rPr>
        <w:t xml:space="preserve">[ REPLACE THIS BLOCK with your details. Red bracketed text is for you to fill in or delete. ]</w:t>
      </w:r>
    </w:p>
    <w:p>
      <w:pPr>
        <w:spacing w:after="160"/>
      </w:pPr>
      <w:r>
        <w:rPr>
          <w:b/>
          <w:bCs/>
        </w:rPr>
        <w:t xml:space="preserve">Name: </w:t>
      </w:r>
      <w:r>
        <w:t xml:space="preserve">[Your full name]</w:t>
      </w:r>
    </w:p>
    <w:p>
      <w:pPr>
        <w:spacing w:after="160"/>
      </w:pPr>
      <w:r>
        <w:rPr>
          <w:b/>
          <w:bCs/>
        </w:rPr>
        <w:t xml:space="preserve">Address: </w:t>
      </w:r>
      <w:r>
        <w:t xml:space="preserve">[Your address — optional but conventional]</w:t>
      </w:r>
    </w:p>
    <w:p>
      <w:pPr>
        <w:spacing w:after="160"/>
      </w:pPr>
      <w:r>
        <w:rPr>
          <w:b/>
          <w:bCs/>
        </w:rPr>
        <w:t xml:space="preserve">Email: </w:t>
      </w:r>
      <w:r>
        <w:t xml:space="preserve">[Your email]</w:t>
      </w:r>
    </w:p>
    <w:p>
      <w:pPr>
        <w:spacing w:after="160"/>
      </w:pPr>
      <w:r>
        <w:rPr>
          <w:b/>
          <w:bCs/>
        </w:rPr>
        <w:t xml:space="preserve">Date: </w:t>
      </w:r>
      <w:r>
        <w:t xml:space="preserve">[Date of submission]</w:t>
      </w:r>
    </w:p>
    <w:p>
      <w:pPr>
        <w:spacing w:after="160"/>
      </w:pPr>
      <w:r>
        <w:rPr>
          <w:i w:val="false"/>
          <w:iCs w:val="false"/>
        </w:rPr>
        <w:t xml:space="preserve">I do / do not wish to appear before the Committee to speak to this submission. </w:t>
      </w:r>
      <w:r>
        <w:rPr>
          <w:i/>
          <w:iCs/>
        </w:rPr>
        <w:t xml:space="preserve">(Delete one.)</w:t>
      </w:r>
    </w:p>
    <w:p>
      <w:pPr>
        <w:pBdr>
          <w:bottom w:val="single" w:color="888888" w:sz="6" w:space="6"/>
        </w:pBdr>
        <w:spacing w:after="240"/>
      </w:pPr>
    </w:p>
    <w:p>
      <w:pPr>
        <w:pStyle w:val="Heading1"/>
        <w:spacing w:after="160" w:before="300"/>
      </w:pPr>
      <w:r>
        <w:rPr>
          <w:b/>
          <w:bCs/>
        </w:rPr>
        <w:t xml:space="preserve">Executive summary</w:t>
      </w:r>
    </w:p>
    <w:p>
      <w:pPr>
        <w:spacing w:after="160"/>
      </w:pPr>
      <w:r>
        <w:t xml:space="preserve">This submission opposes ratification of the New Zealand–India Free Trade Agreement. I respectfully ask the Committee to recommend that Parliament not pass the enabling legislation required for the Agreement to enter into force.</w:t>
      </w:r>
    </w:p>
    <w:p>
      <w:pPr>
        <w:spacing w:after="160"/>
      </w:pPr>
      <w:r>
        <w:t xml:space="preserve">My concerns rest on findings drawn from the Agreement text itself, the National Interest Analysis, and the Motu Economic Impact Assessment of March 2026:</w:t>
      </w:r>
    </w:p>
    <w:p>
      <w:pPr>
        <w:pStyle w:val="ListParagraph"/>
        <w:numPr>
          <w:ilvl w:val="0"/>
          <w:numId w:val="2"/>
        </w:numPr>
        <w:spacing w:after="100"/>
      </w:pPr>
      <w:r>
        <w:rPr>
          <w:b/>
          <w:bCs/>
        </w:rPr>
        <w:t xml:space="preserve">Trivial economic gain. </w:t>
      </w:r>
      <w:r>
        <w:t xml:space="preserve">The headline projected gain is 0.07 percent of GDP by 2036, on a model that does not stress-test downside risks.</w:t>
      </w:r>
    </w:p>
    <w:p>
      <w:pPr>
        <w:pStyle w:val="ListParagraph"/>
        <w:numPr>
          <w:ilvl w:val="0"/>
          <w:numId w:val="2"/>
        </w:numPr>
        <w:spacing w:after="100"/>
      </w:pPr>
      <w:r>
        <w:rPr>
          <w:b/>
          <w:bCs/>
        </w:rPr>
        <w:t xml:space="preserve">Uncapped immigration pathways. </w:t>
      </w:r>
      <w:r>
        <w:t xml:space="preserve">Annex 8K (Intra-Corporate Transferees) and Annex 8F (students and post-study work) are uncapped and treaty-bound.</w:t>
      </w:r>
    </w:p>
    <w:p>
      <w:pPr>
        <w:pStyle w:val="ListParagraph"/>
        <w:numPr>
          <w:ilvl w:val="0"/>
          <w:numId w:val="2"/>
        </w:numPr>
        <w:spacing w:after="100"/>
      </w:pPr>
      <w:r>
        <w:rPr>
          <w:b/>
          <w:bCs/>
        </w:rPr>
        <w:t xml:space="preserve">Unilateral tariff clawback. </w:t>
      </w:r>
      <w:r>
        <w:t xml:space="preserve">Article 9.10 lets India unilaterally claw back New Zealand's tariff concessions if it considers New Zealand has not met an unrealistic US$20 billion FDI promotion target by year 15.</w:t>
      </w:r>
    </w:p>
    <w:p>
      <w:pPr>
        <w:pStyle w:val="ListParagraph"/>
        <w:numPr>
          <w:ilvl w:val="0"/>
          <w:numId w:val="2"/>
        </w:numPr>
        <w:spacing w:after="100"/>
      </w:pPr>
      <w:r>
        <w:rPr>
          <w:b/>
          <w:bCs/>
        </w:rPr>
        <w:t xml:space="preserve">Subsidising our own competitor. </w:t>
      </w:r>
      <w:r>
        <w:t xml:space="preserve">Annex 14A and Annex 2B require New Zealand to fund Centres of Excellence inside India for apples, kiwifruit, and Mānuka honey — products New Zealand exports — in exchange for tariff rate quotas India can suspend.</w:t>
      </w:r>
    </w:p>
    <w:p>
      <w:pPr>
        <w:pStyle w:val="ListParagraph"/>
        <w:numPr>
          <w:ilvl w:val="0"/>
          <w:numId w:val="2"/>
        </w:numPr>
        <w:spacing w:after="100"/>
      </w:pPr>
      <w:r>
        <w:rPr>
          <w:b/>
          <w:bCs/>
        </w:rPr>
        <w:t xml:space="preserve">Dairy excluded. </w:t>
      </w:r>
      <w:r>
        <w:t xml:space="preserve">New Zealand's largest export is excluded from substantive market access; the side letter on dairy is non-binding.</w:t>
      </w:r>
    </w:p>
    <w:p>
      <w:pPr>
        <w:pStyle w:val="ListParagraph"/>
        <w:numPr>
          <w:ilvl w:val="0"/>
          <w:numId w:val="2"/>
        </w:numPr>
        <w:spacing w:after="100"/>
      </w:pPr>
      <w:r>
        <w:rPr>
          <w:b/>
          <w:bCs/>
        </w:rPr>
        <w:t xml:space="preserve">Procedural failure. </w:t>
      </w:r>
      <w:r>
        <w:t xml:space="preserve">The parliamentary majority for ratification was secured on 23 April 2026, four days before signing and five days before the text and Motu report were made public.</w:t>
      </w:r>
    </w:p>
    <w:p>
      <w:pPr>
        <w:spacing w:after="160"/>
      </w:pPr>
      <w:r>
        <w:t xml:space="preserve">The Trade Minister has stated publicly that the Agreement cannot be renegotiated. The Committee's only meaningful recommendation, on his own framing, is whether ratification should proceed at all.</w:t>
      </w:r>
    </w:p>
    <w:p>
      <w:pPr>
        <w:pBdr>
          <w:bottom w:val="single" w:color="888888" w:sz="6" w:space="6"/>
        </w:pBdr>
        <w:spacing w:after="240"/>
      </w:pPr>
    </w:p>
    <w:p>
      <w:pPr>
        <w:pStyle w:val="Heading1"/>
        <w:spacing w:after="160" w:before="300"/>
      </w:pPr>
      <w:r>
        <w:rPr>
          <w:b/>
          <w:bCs/>
        </w:rPr>
        <w:t xml:space="preserve">1. The economic case is weak</w:t>
      </w:r>
    </w:p>
    <w:p>
      <w:pPr>
        <w:spacing w:after="160"/>
      </w:pPr>
      <w:r>
        <w:t xml:space="preserve">The Motu Economic Impact Assessment, commissioned by MFAT, projects that the FTA will increase New Zealand GDP by approximately 0.07 percent by 2036 — equivalent to NZ$382 million on a non-FTA baseline. By 2050, the projected gain rises to approximately 0.10 percent. New Zealand GDP in 2025 was approximately NZ$430 billion. A 0.07 percent gain represents an annual addition smaller than ordinary year-on-year economic noise.</w:t>
      </w:r>
    </w:p>
    <w:p>
      <w:pPr>
        <w:spacing w:after="160"/>
      </w:pPr>
      <w:r>
        <w:t xml:space="preserve">The Motu modelling assumes all labour is fully employed and perfectly mobile across sectors, and acknowledges that results depend on assigned elasticity parameters. It does not model the labour-market impact of the immigration commitments, the cost of the Article 9.10 clawback, the long-run competitive impact of the Action Plans, or the cost of New Zealand's FDI promotion obligations. Every limitation Motu volunteers points the same direction: gains could be larger if new trade networks emerge. There is no published downside scenario.</w:t>
      </w:r>
    </w:p>
    <w:p>
      <w:pPr>
        <w:spacing w:after="160"/>
      </w:pPr>
      <w:r>
        <w:rPr>
          <w:b/>
          <w:bCs/>
          <w:i/>
          <w:iCs/>
          <w:color w:val="C0504D"/>
        </w:rPr>
        <w:t xml:space="preserve">[ OPTIONAL personal addition — for example: 'I work in [sector] and the modelling does not address [specific concern].' Delete this line if you do not want to add anything. ]</w:t>
      </w:r>
    </w:p>
    <w:p>
      <w:pPr>
        <w:pBdr>
          <w:bottom w:val="single" w:color="888888" w:sz="6" w:space="6"/>
        </w:pBdr>
        <w:spacing w:after="240"/>
      </w:pPr>
    </w:p>
    <w:p>
      <w:pPr>
        <w:pStyle w:val="Heading1"/>
        <w:spacing w:after="160" w:before="300"/>
      </w:pPr>
      <w:r>
        <w:rPr>
          <w:b/>
          <w:bCs/>
        </w:rPr>
        <w:t xml:space="preserve">2. Uncapped immigration pathways no future government can close</w:t>
      </w:r>
    </w:p>
    <w:p>
      <w:pPr>
        <w:spacing w:after="160"/>
      </w:pPr>
      <w:r>
        <w:t xml:space="preserve">Public discussion has focused on the 5,000-visa cap in Annex 8L. That cap covers only one category — the Temporary Employment Entry (TEE) visa scheme. The Agreement opens further pathways that are not capped:</w:t>
      </w:r>
    </w:p>
    <w:p>
      <w:pPr>
        <w:pStyle w:val="Heading2"/>
        <w:spacing w:after="160" w:before="300"/>
      </w:pPr>
      <w:r>
        <w:rPr>
          <w:b/>
          <w:bCs/>
        </w:rPr>
        <w:t xml:space="preserve">Annex 8K Section B — Intra-Corporate Transferees</w:t>
      </w:r>
    </w:p>
    <w:p>
      <w:pPr>
        <w:spacing w:after="160"/>
      </w:pPr>
      <w:r>
        <w:t xml:space="preserve">Annex 8K Section B governs transfers in three sub-categories: Executives, Managers, and Specialists. The schedule provides for an initial period of stay of up to three years, no numerical cap on entry, and no economic needs test or labour market test. Article 8C.3.4 prohibits New Zealand from imposing such limits except where it has expressly reserved them in its schedule. New Zealand reserved an economic needs test for Section D (Contractual Services Suppliers) and Section E (Independent Professionals), but did not reserve any equivalent protection for Section B. The contrast within the same Schedule shows New Zealand was capable of reserving labour-market protections and chose not to.</w:t>
      </w:r>
    </w:p>
    <w:p>
      <w:pPr>
        <w:pStyle w:val="Heading2"/>
        <w:spacing w:after="160" w:before="300"/>
      </w:pPr>
      <w:r>
        <w:rPr>
          <w:b/>
          <w:bCs/>
        </w:rPr>
        <w:t xml:space="preserve">Annex 8F — Students and post-study work</w:t>
      </w:r>
    </w:p>
    <w:p>
      <w:pPr>
        <w:spacing w:after="160"/>
      </w:pPr>
      <w:r>
        <w:rPr>
          <w:i w:val="false"/>
          <w:iCs w:val="false"/>
        </w:rPr>
        <w:t xml:space="preserve">Annex 8F paragraph 2 provides that </w:t>
      </w:r>
      <w:r>
        <w:rPr>
          <w:i/>
          <w:iCs/>
        </w:rPr>
        <w:t xml:space="preserve">“neither Party shall impose any numerical limits on the admission and entry of students from the other Party to recognised education institutions in their respective territory.”</w:t>
      </w:r>
    </w:p>
    <w:p>
      <w:pPr>
        <w:spacing w:after="160"/>
      </w:pPr>
      <w:r>
        <w:t xml:space="preserve">Paragraphs 4 and 5 commit New Zealand to maintain post-study work visas of two years for bachelor's graduates, three years for master's graduates, and four years for doctoral graduates, with a top-up to three years for bachelor's graduates with First Class Honours in STEM fields. Paragraph 3 commits each Party to allow students from the other Party to work for at least 20 hours per week during study. Paragraph 7 requires implementation within one year of entry into force. None of these commitments can be unilaterally tightened by a future New Zealand government without breaching the Agreement.</w:t>
      </w:r>
    </w:p>
    <w:p>
      <w:pPr>
        <w:pStyle w:val="Heading2"/>
        <w:spacing w:after="160" w:before="300"/>
      </w:pPr>
      <w:r>
        <w:rPr>
          <w:b/>
          <w:bCs/>
        </w:rPr>
        <w:t xml:space="preserve">UK precedent</w:t>
      </w:r>
    </w:p>
    <w:p>
      <w:pPr>
        <w:spacing w:after="160"/>
      </w:pPr>
      <w:r>
        <w:t xml:space="preserve">The UK's equivalent ICT route was reviewed in October 2021 by the UK Migration Advisory Committee, which documented likely non-compliance and abuse, with the route concentrated in IT and dominated by a small number of large Indian outsourcing firms. The architecture in this Agreement is functionally similar, and the same legal constraints on tightening the route would apply.</w:t>
      </w:r>
    </w:p>
    <w:p>
      <w:pPr>
        <w:spacing w:after="160"/>
      </w:pPr>
      <w:r>
        <w:rPr>
          <w:b/>
          <w:bCs/>
          <w:i/>
          <w:iCs/>
          <w:color w:val="C0504D"/>
        </w:rPr>
        <w:t xml:space="preserve">[ OPTIONAL personal addition — for example, if you work in IT, professional services, education, or a sector likely to be affected, add a sentence or two here. Delete this line if you do not want to add anything. ]</w:t>
      </w:r>
    </w:p>
    <w:p>
      <w:pPr>
        <w:pBdr>
          <w:bottom w:val="single" w:color="888888" w:sz="6" w:space="6"/>
        </w:pBdr>
        <w:spacing w:after="240"/>
      </w:pPr>
    </w:p>
    <w:p>
      <w:pPr>
        <w:pStyle w:val="Heading1"/>
        <w:spacing w:after="160" w:before="300"/>
      </w:pPr>
      <w:r>
        <w:rPr>
          <w:b/>
          <w:bCs/>
        </w:rPr>
        <w:t xml:space="preserve">3. Article 9.10 — India's unilateral clawback</w:t>
      </w:r>
    </w:p>
    <w:p>
      <w:pPr>
        <w:spacing w:after="160"/>
      </w:pPr>
      <w:r>
        <w:t xml:space="preserve">Article 9.2 commits New Zealand to promote foreign direct investment from New Zealand investors into India with the aim of increasing such investment by US$20 billion within 15 years. Ministers have characterised the figure as aspirational. Article 9.9 paragraph 6 provides that, if the target is not met by year 15 and India considers New Zealand has not fulfilled its commitment, India may trigger formal consultations. Article 9.10 paragraph 1 then provides that India may, notwithstanding any other provision under the Agreement, undertake proportionate remedial measures to rebalance the concessions provided to New Zealand under the tariff schedule. Article 9.11 excludes this matter from dispute settlement under Chapter 19.</w:t>
      </w:r>
    </w:p>
    <w:p>
      <w:pPr>
        <w:spacing w:after="160"/>
      </w:pPr>
      <w:r>
        <w:t xml:space="preserve">US$20 billion converts to approximately NZ$33–34 billion. UNCTAD records New Zealand's total cumulative outward FDI stock to all countries combined as approximately US$16 billion in 2024. The Agreement therefore contemplates promoting, over 15 years, FDI flows to India alone exceeding the entire current stock of New Zealand outward FDI globally. There is no published projection from MFAT, Treasury, or Motu identifying a realistic pathway to meeting the target.</w:t>
      </w:r>
    </w:p>
    <w:p>
      <w:pPr>
        <w:spacing w:after="160"/>
      </w:pPr>
      <w:r>
        <w:rPr>
          <w:b/>
          <w:bCs/>
          <w:i/>
          <w:iCs/>
          <w:color w:val="C0504D"/>
        </w:rPr>
        <w:t xml:space="preserve">[ OPTIONAL personal addition. Delete if not used. ]</w:t>
      </w:r>
    </w:p>
    <w:p>
      <w:pPr>
        <w:pBdr>
          <w:bottom w:val="single" w:color="888888" w:sz="6" w:space="6"/>
        </w:pBdr>
        <w:spacing w:after="240"/>
      </w:pPr>
    </w:p>
    <w:p>
      <w:pPr>
        <w:pStyle w:val="Heading1"/>
        <w:spacing w:after="160" w:before="300"/>
      </w:pPr>
      <w:r>
        <w:rPr>
          <w:b/>
          <w:bCs/>
        </w:rPr>
        <w:t xml:space="preserve">4. Action Plans — paying twice for market access India can rescind</w:t>
      </w:r>
    </w:p>
    <w:p>
      <w:pPr>
        <w:spacing w:after="160"/>
      </w:pPr>
      <w:r>
        <w:t xml:space="preserve">Annex 14A Article 14A.3 and Annex 2B require New Zealand, within five years of entry into force, to fund and operate Centres of Excellence in India for kiwifruit and apples; assist India to strengthen its plant variety rights framework, enabling Indian growers to license premium New Zealand-developed cultivars; upgrade Indian packhouse, cold-chain and food-safety infrastructure; and support Indian Mānuka honey production.</w:t>
      </w:r>
    </w:p>
    <w:p>
      <w:pPr>
        <w:spacing w:after="160"/>
      </w:pPr>
      <w:r>
        <w:t xml:space="preserve">In exchange, New Zealand receives a 45,000 metric tonne tariff-rate quota for apples (approximately 11 percent of current New Zealand apple exports) and a 15,000 metric tonne tariff-rate quota for kiwifruit (approximately 2 percent of current exports). Out-of-quota tariffs remain at India's MFN rates.</w:t>
      </w:r>
    </w:p>
    <w:p>
      <w:pPr>
        <w:spacing w:after="160"/>
      </w:pPr>
      <w:r>
        <w:t xml:space="preserve">Annex 2B paragraph 9 permits India to suspend the tariff-rate quota access if it considers New Zealand has not adequately delivered on the Action Plan. Annex 2B paragraph 4 specifies that New Zealand expenditure on the Centres of Excellence does not count toward the US$20 billion FDI commitment. New Zealand pays directly to build Indian competitive capacity in the same products it exports, that payment does not reduce the separate US$20 billion obligation, and the market access received in exchange can be suspended on India's assessment.</w:t>
      </w:r>
    </w:p>
    <w:p>
      <w:pPr>
        <w:spacing w:after="160"/>
      </w:pPr>
      <w:r>
        <w:rPr>
          <w:b/>
          <w:bCs/>
          <w:i/>
          <w:iCs/>
          <w:color w:val="C0504D"/>
        </w:rPr>
        <w:t xml:space="preserve">[ OPTIONAL personal addition — particularly relevant if you work in horticulture or the apiculture sector. Delete if not used. ]</w:t>
      </w:r>
    </w:p>
    <w:p>
      <w:pPr>
        <w:pBdr>
          <w:bottom w:val="single" w:color="888888" w:sz="6" w:space="6"/>
        </w:pBdr>
        <w:spacing w:after="240"/>
      </w:pPr>
    </w:p>
    <w:p>
      <w:pPr>
        <w:pStyle w:val="Heading1"/>
        <w:spacing w:after="160" w:before="300"/>
      </w:pPr>
      <w:r>
        <w:rPr>
          <w:b/>
          <w:bCs/>
        </w:rPr>
        <w:t xml:space="preserve">5. What New Zealand gave up — dairy and red meat</w:t>
      </w:r>
    </w:p>
    <w:p>
      <w:pPr>
        <w:spacing w:after="160"/>
      </w:pPr>
      <w:r>
        <w:t xml:space="preserve">All 51 tariff lines under HS Chapter 04 (dairy) are excluded from substantive market access. Dairy is New Zealand's largest export. The dairy side letter is a non-binding commitment to consult, not market access. Red meat, New Zealand's second-largest potential export to a market of this scale, receives only partial and phased tariff reductions.</w:t>
      </w:r>
    </w:p>
    <w:p>
      <w:pPr>
        <w:spacing w:after="160"/>
      </w:pPr>
      <w:r>
        <w:t xml:space="preserve">According to the Indian Government's published factsheet on the Agreement, India received 100 percent duty-free access for its merchandise exports to New Zealand from day one of entry into force. New Zealand received tariff elimination on approximately 30 percent of tariff lines from day one, rising to approximately 80 percent after full phase-in over up to ten years. The reciprocity is asymmetric on day one and remains asymmetric throughout the phase-in period.</w:t>
      </w:r>
    </w:p>
    <w:p>
      <w:pPr>
        <w:spacing w:after="160"/>
      </w:pPr>
      <w:r>
        <w:rPr>
          <w:b/>
          <w:bCs/>
          <w:i/>
          <w:iCs/>
          <w:color w:val="C0504D"/>
        </w:rPr>
        <w:t xml:space="preserve">[ OPTIONAL personal addition. Delete if not used. ]</w:t>
      </w:r>
    </w:p>
    <w:p>
      <w:pPr>
        <w:pBdr>
          <w:bottom w:val="single" w:color="888888" w:sz="6" w:space="6"/>
        </w:pBdr>
        <w:spacing w:after="240"/>
      </w:pPr>
    </w:p>
    <w:p>
      <w:pPr>
        <w:pStyle w:val="Heading1"/>
        <w:spacing w:after="160" w:before="300"/>
      </w:pPr>
      <w:r>
        <w:rPr>
          <w:b/>
          <w:bCs/>
        </w:rPr>
        <w:t xml:space="preserve">6. The Agreement cannot be renegotiated</w:t>
      </w:r>
    </w:p>
    <w:p>
      <w:pPr>
        <w:spacing w:after="160"/>
      </w:pPr>
      <w:r>
        <w:t xml:space="preserve">The Trade Minister has stated publicly that the Agreement cannot be renegotiated. The Committee should take that statement at face value. If the Agreement cannot be renegotiated, Parliament's choice is binary: ratify or not. There is no third path of ratifying with improvements or addressing concerns later. The mobility commitments cannot be tightened without breaching international obligations. The Article 9.10 clawback cannot be excluded. The Action Plan contingency cannot be removed. The dairy exclusion cannot be reversed. The serious question is whether the Agreement is, on its terms, in the national interest.</w:t>
      </w:r>
    </w:p>
    <w:p>
      <w:pPr>
        <w:pBdr>
          <w:bottom w:val="single" w:color="888888" w:sz="6" w:space="6"/>
        </w:pBdr>
        <w:spacing w:after="240"/>
      </w:pPr>
    </w:p>
    <w:p>
      <w:pPr>
        <w:pStyle w:val="Heading1"/>
        <w:spacing w:after="160" w:before="300"/>
      </w:pPr>
      <w:r>
        <w:rPr>
          <w:b/>
          <w:bCs/>
        </w:rPr>
        <w:t xml:space="preserve">7. The procedural failure</w:t>
      </w:r>
    </w:p>
    <w:p>
      <w:pPr>
        <w:spacing w:after="160"/>
      </w:pPr>
      <w:r>
        <w:t xml:space="preserve">The procedural sequence by which this Agreement has come before the Committee is, in my view, an institutional failure. The dates are public:</w:t>
      </w:r>
    </w:p>
    <w:p>
      <w:pPr>
        <w:pStyle w:val="ListParagraph"/>
        <w:numPr>
          <w:ilvl w:val="0"/>
          <w:numId w:val="2"/>
        </w:numPr>
        <w:spacing w:after="100"/>
      </w:pPr>
      <w:r>
        <w:t xml:space="preserve">22 December 2025 — Negotiations concluded. No public text released.</w:t>
      </w:r>
    </w:p>
    <w:p>
      <w:pPr>
        <w:pStyle w:val="ListParagraph"/>
        <w:numPr>
          <w:ilvl w:val="0"/>
          <w:numId w:val="2"/>
        </w:numPr>
        <w:spacing w:after="100"/>
      </w:pPr>
      <w:r>
        <w:t xml:space="preserve">March 2026 — Motu Economic Impact Assessment finalised. Not publicly released.</w:t>
      </w:r>
    </w:p>
    <w:p>
      <w:pPr>
        <w:pStyle w:val="ListParagraph"/>
        <w:numPr>
          <w:ilvl w:val="0"/>
          <w:numId w:val="2"/>
        </w:numPr>
        <w:spacing w:after="100"/>
      </w:pPr>
      <w:r>
        <w:t xml:space="preserve">23 April 2026 — Labour announces support for the enabling legislation. The parliamentary majority required for ratification is secured.</w:t>
      </w:r>
    </w:p>
    <w:p>
      <w:pPr>
        <w:pStyle w:val="ListParagraph"/>
        <w:numPr>
          <w:ilvl w:val="0"/>
          <w:numId w:val="2"/>
        </w:numPr>
        <w:spacing w:after="100"/>
      </w:pPr>
      <w:r>
        <w:t xml:space="preserve">27 April 2026 — Agreement signed in New Delhi.</w:t>
      </w:r>
    </w:p>
    <w:p>
      <w:pPr>
        <w:pStyle w:val="ListParagraph"/>
        <w:numPr>
          <w:ilvl w:val="0"/>
          <w:numId w:val="2"/>
        </w:numPr>
        <w:spacing w:after="100"/>
      </w:pPr>
      <w:r>
        <w:t xml:space="preserve">28 April 2026 — Full text and Motu report made public; National Interest Analysis tabled.</w:t>
      </w:r>
    </w:p>
    <w:p>
      <w:pPr>
        <w:pStyle w:val="ListParagraph"/>
        <w:numPr>
          <w:ilvl w:val="0"/>
          <w:numId w:val="2"/>
        </w:numPr>
        <w:spacing w:after="100"/>
      </w:pPr>
      <w:r>
        <w:t xml:space="preserve">30 April 2026 — Public submissions to this Committee open.</w:t>
      </w:r>
    </w:p>
    <w:p>
      <w:pPr>
        <w:pStyle w:val="ListParagraph"/>
        <w:numPr>
          <w:ilvl w:val="0"/>
          <w:numId w:val="2"/>
        </w:numPr>
        <w:spacing w:after="100"/>
      </w:pPr>
      <w:r>
        <w:t xml:space="preserve">17 May 2026 — Public submissions close.</w:t>
      </w:r>
    </w:p>
    <w:p>
      <w:pPr>
        <w:spacing w:after="160"/>
      </w:pPr>
      <w:r>
        <w:t xml:space="preserve">The parliamentary majority required to ratify this Agreement was secured before the public could read it. By the time public submissions opened, ratification was politically settled. I make no criticism of the opposition for receiving briefings; that is the proper conduct of trade policy at the political level. I do criticise a process under which the only parties capable of stopping ratification are required to commit to a position before any independent analysis or public scrutiny can occur.</w:t>
      </w:r>
    </w:p>
    <w:p>
      <w:pPr>
        <w:spacing w:after="160"/>
      </w:pPr>
      <w:r>
        <w:t xml:space="preserve">I respectfully submit that the Committee should record in its report that the parliamentary majority for ratification was secured before the text and supporting analysis were made public, and that this sequencing is structurally inconsistent with meaningful public scrutiny.</w:t>
      </w:r>
    </w:p>
    <w:p>
      <w:pPr>
        <w:pBdr>
          <w:bottom w:val="single" w:color="888888" w:sz="6" w:space="6"/>
        </w:pBdr>
        <w:spacing w:after="240"/>
      </w:pPr>
    </w:p>
    <w:p>
      <w:pPr>
        <w:pStyle w:val="Heading1"/>
        <w:spacing w:after="160" w:before="300"/>
      </w:pPr>
      <w:r>
        <w:rPr>
          <w:b/>
          <w:bCs/>
        </w:rPr>
        <w:t xml:space="preserve">8. My personal view</w:t>
      </w:r>
    </w:p>
    <w:p>
      <w:pPr>
        <w:spacing w:after="160"/>
      </w:pPr>
      <w:r>
        <w:rPr>
          <w:b/>
          <w:bCs/>
          <w:i/>
          <w:iCs/>
          <w:color w:val="C0504D"/>
        </w:rPr>
        <w:t xml:space="preserve">[ THIS IS YOUR SECTION. Add anything you want the Committee to know in your own words. A few sentences is enough — submissions in your own voice carry more weight than long ones. Examples of what you might say: ]</w:t>
      </w:r>
    </w:p>
    <w:p>
      <w:pPr>
        <w:spacing w:after="160"/>
      </w:pPr>
      <w:r>
        <w:rPr>
          <w:b/>
          <w:bCs/>
          <w:i/>
          <w:iCs/>
          <w:color w:val="C0504D"/>
        </w:rPr>
        <w:t xml:space="preserve">[ • How the Agreement affects you, your family, your industry, or your community. ]</w:t>
      </w:r>
    </w:p>
    <w:p>
      <w:pPr>
        <w:spacing w:after="160"/>
      </w:pPr>
      <w:r>
        <w:rPr>
          <w:b/>
          <w:bCs/>
          <w:i/>
          <w:iCs/>
          <w:color w:val="C0504D"/>
        </w:rPr>
        <w:t xml:space="preserve">[ • Why a particular provision concerns you most. ]</w:t>
      </w:r>
    </w:p>
    <w:p>
      <w:pPr>
        <w:spacing w:after="160"/>
      </w:pPr>
      <w:r>
        <w:rPr>
          <w:b/>
          <w:bCs/>
          <w:i/>
          <w:iCs/>
          <w:color w:val="C0504D"/>
        </w:rPr>
        <w:t xml:space="preserve">[ • What you want the Committee to do. ]</w:t>
      </w:r>
    </w:p>
    <w:p>
      <w:pPr>
        <w:spacing w:after="160"/>
      </w:pPr>
      <w:r>
        <w:rPr>
          <w:b/>
          <w:bCs/>
          <w:i/>
          <w:iCs/>
          <w:color w:val="C0504D"/>
        </w:rPr>
        <w:t xml:space="preserve">[ • Any local context the Committee should be aware of. ]</w:t>
      </w:r>
    </w:p>
    <w:p>
      <w:pPr>
        <w:spacing w:after="160"/>
      </w:pPr>
      <w:r>
        <w:rPr>
          <w:b/>
          <w:bCs/>
          <w:i/>
          <w:iCs/>
          <w:color w:val="C0504D"/>
        </w:rPr>
        <w:t xml:space="preserve">[ Delete these prompts and write your own paragraph here. If you do not want to add a personal section, delete this whole heading and skip to the conclusion. ]</w:t>
      </w:r>
    </w:p>
    <w:p>
      <w:pPr>
        <w:pBdr>
          <w:bottom w:val="single" w:color="888888" w:sz="6" w:space="6"/>
        </w:pBdr>
        <w:spacing w:after="240"/>
      </w:pPr>
    </w:p>
    <w:p>
      <w:pPr>
        <w:pStyle w:val="Heading1"/>
        <w:spacing w:after="160" w:before="300"/>
      </w:pPr>
      <w:r>
        <w:rPr>
          <w:b/>
          <w:bCs/>
        </w:rPr>
        <w:t xml:space="preserve">Conclusion and recommendations</w:t>
      </w:r>
    </w:p>
    <w:p>
      <w:pPr>
        <w:spacing w:after="160"/>
      </w:pPr>
      <w:r>
        <w:t xml:space="preserve">I respectfully ask the Committee to:</w:t>
      </w:r>
    </w:p>
    <w:p>
      <w:pPr>
        <w:pStyle w:val="ListParagraph"/>
        <w:numPr>
          <w:ilvl w:val="0"/>
          <w:numId w:val="2"/>
        </w:numPr>
        <w:spacing w:after="100"/>
      </w:pPr>
      <w:r>
        <w:t xml:space="preserve">Recommend that Parliament not pass the enabling legislation required for the Agreement to enter into force.</w:t>
      </w:r>
    </w:p>
    <w:p>
      <w:pPr>
        <w:pStyle w:val="ListParagraph"/>
        <w:numPr>
          <w:ilvl w:val="0"/>
          <w:numId w:val="2"/>
        </w:numPr>
        <w:spacing w:after="100"/>
      </w:pPr>
      <w:r>
        <w:t xml:space="preserve">Record in its report each of the substantive findings above, with reference to the relevant articles and annexes of the Agreement.</w:t>
      </w:r>
    </w:p>
    <w:p>
      <w:pPr>
        <w:pStyle w:val="ListParagraph"/>
        <w:numPr>
          <w:ilvl w:val="0"/>
          <w:numId w:val="2"/>
        </w:numPr>
        <w:spacing w:after="100"/>
      </w:pPr>
      <w:r>
        <w:t xml:space="preserve">Record in its report the procedural sequence by which the parliamentary majority for ratification was secured before the Agreement and supporting analysis were made public.</w:t>
      </w:r>
    </w:p>
    <w:p>
      <w:pPr>
        <w:pStyle w:val="ListParagraph"/>
        <w:numPr>
          <w:ilvl w:val="0"/>
          <w:numId w:val="2"/>
        </w:numPr>
        <w:spacing w:after="100"/>
      </w:pPr>
      <w:r>
        <w:t xml:space="preserve">Recommend the establishment of a permanent independent body with statutory authority to scrutinise trade treaties during negotiation, so that future agreements do not reach Parliament under the same procedural and informational deficit.</w:t>
      </w:r>
    </w:p>
    <w:p>
      <w:pPr>
        <w:spacing w:after="160"/>
      </w:pPr>
      <w:r>
        <w:rPr>
          <w:b/>
          <w:bCs/>
        </w:rPr>
        <w:t xml:space="preserve">Signed: </w:t>
      </w:r>
      <w:r>
        <w:t xml:space="preserve">_______________________________</w:t>
      </w:r>
    </w:p>
    <w:p>
      <w:pPr>
        <w:spacing w:after="160"/>
      </w:pPr>
      <w:r>
        <w:rPr>
          <w:b/>
          <w:bCs/>
        </w:rPr>
        <w:t xml:space="preserve">Date: </w:t>
      </w:r>
      <w:r>
        <w:t xml:space="preserve">_______________________________</w:t>
      </w:r>
    </w:p>
    <w:p>
      <w:pPr>
        <w:pBdr>
          <w:bottom w:val="single" w:color="888888" w:sz="6" w:space="6"/>
        </w:pBdr>
        <w:spacing w:after="240"/>
      </w:pPr>
    </w:p>
    <w:p>
      <w:pPr>
        <w:pStyle w:val="Heading1"/>
        <w:spacing w:after="160" w:before="300"/>
      </w:pPr>
      <w:r>
        <w:rPr>
          <w:b/>
          <w:bCs/>
        </w:rPr>
        <w:t xml:space="preserve">How to submit this — instructions (delete before submitting)</w:t>
      </w:r>
    </w:p>
    <w:p>
      <w:pPr>
        <w:spacing w:after="160"/>
      </w:pPr>
      <w:r>
        <w:rPr>
          <w:b/>
          <w:bCs/>
          <w:i/>
          <w:iCs/>
          <w:color w:val="C0504D"/>
        </w:rPr>
        <w:t xml:space="preserve">[ THIS PAGE IS FOR YOU. Delete this entire section before sending. ]</w:t>
      </w:r>
    </w:p>
    <w:p>
      <w:pPr>
        <w:spacing w:after="160"/>
      </w:pPr>
      <w:r>
        <w:rPr>
          <w:b/>
          <w:bCs/>
        </w:rPr>
        <w:t xml:space="preserve">Deadline: </w:t>
      </w:r>
      <w:r>
        <w:t xml:space="preserve">11.59pm Sunday 17 May 2026.</w:t>
      </w:r>
    </w:p>
    <w:p>
      <w:pPr>
        <w:spacing w:after="160"/>
      </w:pPr>
      <w:r>
        <w:rPr>
          <w:b/>
          <w:bCs/>
        </w:rPr>
        <w:t xml:space="preserve">Where to submit: </w:t>
      </w:r>
      <w:r>
        <w:t xml:space="preserve">Online via the New Zealand Parliament website. Go to www.parliament.nz, search “Foreign Affairs Defence and Trade Committee”, and find the page for the New Zealand–India FTA international treaty examination. Click “Make a submission”.</w:t>
      </w:r>
    </w:p>
    <w:p>
      <w:pPr>
        <w:spacing w:after="160"/>
      </w:pPr>
      <w:r>
        <w:rPr>
          <w:b/>
          <w:bCs/>
        </w:rPr>
        <w:t xml:space="preserve">How to personalise this template:</w:t>
      </w:r>
    </w:p>
    <w:p>
      <w:pPr>
        <w:pStyle w:val="ListParagraph"/>
        <w:numPr>
          <w:ilvl w:val="0"/>
          <w:numId w:val="2"/>
        </w:numPr>
        <w:spacing w:after="100"/>
      </w:pPr>
      <w:r>
        <w:t xml:space="preserve">Fill in your details at the top.</w:t>
      </w:r>
    </w:p>
    <w:p>
      <w:pPr>
        <w:pStyle w:val="ListParagraph"/>
        <w:numPr>
          <w:ilvl w:val="0"/>
          <w:numId w:val="2"/>
        </w:numPr>
        <w:spacing w:after="100"/>
      </w:pPr>
      <w:r>
        <w:t xml:space="preserve">Read each section. Delete the red bracketed prompts where you don't want to add anything.</w:t>
      </w:r>
    </w:p>
    <w:p>
      <w:pPr>
        <w:pStyle w:val="ListParagraph"/>
        <w:numPr>
          <w:ilvl w:val="0"/>
          <w:numId w:val="2"/>
        </w:numPr>
        <w:spacing w:after="100"/>
      </w:pPr>
      <w:r>
        <w:t xml:space="preserve">In Section 8, write something in your own words. This matters more than the rest. Even two or three sentences is fine.</w:t>
      </w:r>
    </w:p>
    <w:p>
      <w:pPr>
        <w:pStyle w:val="ListParagraph"/>
        <w:numPr>
          <w:ilvl w:val="0"/>
          <w:numId w:val="2"/>
        </w:numPr>
        <w:spacing w:after="100"/>
      </w:pPr>
      <w:r>
        <w:t xml:space="preserve">If a section doesn't reflect your view, delete it. You do not have to use every argument.</w:t>
      </w:r>
    </w:p>
    <w:p>
      <w:pPr>
        <w:pStyle w:val="ListParagraph"/>
        <w:numPr>
          <w:ilvl w:val="0"/>
          <w:numId w:val="2"/>
        </w:numPr>
        <w:spacing w:after="100"/>
      </w:pPr>
      <w:r>
        <w:t xml:space="preserve">Decide whether you want to appear before the Committee in person — leave the line you want at the top, delete the other.</w:t>
      </w:r>
    </w:p>
    <w:p>
      <w:pPr>
        <w:pStyle w:val="ListParagraph"/>
        <w:numPr>
          <w:ilvl w:val="0"/>
          <w:numId w:val="2"/>
        </w:numPr>
        <w:spacing w:after="100"/>
      </w:pPr>
      <w:r>
        <w:t xml:space="preserve">Save the document as a PDF before submitting (File → Save As → PDF), or upload the .docx directly.</w:t>
      </w:r>
    </w:p>
    <w:p>
      <w:pPr>
        <w:spacing w:after="160"/>
      </w:pPr>
      <w:r>
        <w:rPr>
          <w:b/>
          <w:bCs/>
        </w:rPr>
        <w:t xml:space="preserve">Tone:</w:t>
      </w:r>
      <w:r>
        <w:t xml:space="preserve"> Submissions in your own voice carry more weight than copy-paste form submissions. Personalising even one section makes a real difference. The Committee Secretariat reads every submission.</w:t>
      </w:r>
    </w:p>
    <w:p>
      <w:pPr>
        <w:spacing w:after="160"/>
      </w:pPr>
      <w:r>
        <w:rPr>
          <w:b/>
          <w:bCs/>
        </w:rPr>
        <w:t xml:space="preserve">Privacy:</w:t>
      </w:r>
      <w:r>
        <w:t xml:space="preserve"> Submissions are normally published on the Parliament website with your name attached. If you want your submission published but your contact details kept private, say so at the top.</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666666"/>
        <w:sz w:val="18"/>
        <w:szCs w:val="18"/>
      </w:rPr>
      <w:t xml:space="preserve">Page </w:t>
    </w:r>
    <w:r>
      <w:rPr>
        <w:color w:val="666666"/>
        <w:sz w:val="18"/>
        <w:szCs w:val="18"/>
      </w:rPr>
      <w:fldChar w:fldCharType="begin"/>
      <w:instrText xml:space="preserve">PAGE</w:instrText>
      <w:fldChar w:fldCharType="separate"/>
      <w:fldChar w:fldCharType="end"/>
    </w:r>
    <w:r>
      <w:rPr>
        <w:color w:val="666666"/>
        <w:sz w:val="18"/>
        <w:szCs w:val="18"/>
      </w:rPr>
      <w:t xml:space="preserve"> of </w:t>
    </w:r>
    <w:r>
      <w:rPr>
        <w:color w:val="666666"/>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i/>
        <w:iCs/>
        <w:color w:val="666666"/>
        <w:sz w:val="18"/>
        <w:szCs w:val="18"/>
      </w:rPr>
      <w:t xml:space="preserve">Submission — NZ–India FTA International Treaty Examination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Calibri" w:cs="Calibri" w:eastAsia="Calibri" w:hAnsi="Calibri"/>
      <w:b/>
      <w:bCs/>
      <w:color w:val="1F3864"/>
      <w:sz w:val="30"/>
      <w:szCs w:val="30"/>
    </w:rPr>
  </w:style>
  <w:style w:type="paragraph" w:styleId="Heading2">
    <w:name w:val="Heading 2"/>
    <w:basedOn w:val="Normal"/>
    <w:next w:val="Normal"/>
    <w:qFormat/>
    <w:pPr>
      <w:spacing w:after="160" w:before="240"/>
      <w:outlineLvl w:val="1"/>
    </w:pPr>
    <w:rPr>
      <w:rFonts w:ascii="Calibri" w:cs="Calibri" w:eastAsia="Calibri" w:hAnsi="Calibri"/>
      <w:b/>
      <w:bCs/>
      <w:color w:val="2F5496"/>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2026-05-06T21:27:41.348Z</dcterms:created>
  <dcterms:modified xsi:type="dcterms:W3CDTF">2026-05-06T21:27:41.349Z</dcterms:modified>
</cp:coreProperties>
</file>

<file path=docProps/custom.xml><?xml version="1.0" encoding="utf-8"?>
<Properties xmlns="http://schemas.openxmlformats.org/officeDocument/2006/custom-properties" xmlns:vt="http://schemas.openxmlformats.org/officeDocument/2006/docPropsVTypes"/>
</file>